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9026.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13"/>
        <w:gridCol w:w="4513"/>
        <w:tblGridChange w:id="0">
          <w:tblGrid>
            <w:gridCol w:w="4513"/>
            <w:gridCol w:w="4513"/>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b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the Commencement Date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Contract Period or Contact Period of the last Call-Off Contract, the Supplier shall deliver to CCS evidence of:</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trac</w:t>
      </w:r>
      <w:r w:rsidDel="00000000" w:rsidR="00000000" w:rsidRPr="00000000">
        <w:rPr>
          <w:rFonts w:ascii="Arial" w:cs="Arial" w:eastAsia="Arial" w:hAnsi="Arial"/>
          <w:sz w:val="24"/>
          <w:szCs w:val="24"/>
          <w:rtl w:val="0"/>
        </w:rPr>
        <w:t xml:space="preserve">t.</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Framework Ref: RM6269</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N/5wxoyA1eVXTlQAcvI9rWxEgQ==">AMUW2mV8vRNWQE3ldVAzBDgww5NkiHvw1XP6Ee8uUocIPejioaqt0Ih1eTScLLfFneTDH1hgilZ8bqZMb8SgXkxnJlMkv0K5pk4eUzPJKTqEWTOAN8/eNGFcGds7ZRjmtjaNITm2rWPOlxDv53U3QpvQLiLqgrlVKAEUru7ol3JF74vYstxFEeE=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